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30" w:lineRule="exact"/>
        <w:ind w:left="0" w:leftChars="0" w:firstLine="0" w:firstLineChars="0"/>
        <w:jc w:val="center"/>
        <w:rPr>
          <w:rFonts w:ascii="楷体" w:hAnsi="楷体" w:eastAsia="楷体"/>
          <w:b/>
          <w:kern w:val="0"/>
          <w:sz w:val="36"/>
          <w:szCs w:val="36"/>
        </w:rPr>
      </w:pPr>
      <w:bookmarkStart w:id="0" w:name="_Toc26219_WPSOffice_Level3"/>
      <w:r>
        <w:rPr>
          <w:rFonts w:hint="eastAsia" w:ascii="楷体" w:hAnsi="楷体" w:eastAsia="楷体"/>
          <w:b/>
          <w:kern w:val="0"/>
          <w:sz w:val="36"/>
          <w:szCs w:val="36"/>
          <w:lang w:val="en-US" w:eastAsia="zh-CN"/>
        </w:rPr>
        <w:t>会计学</w:t>
      </w:r>
      <w:r>
        <w:rPr>
          <w:rFonts w:hint="eastAsia" w:ascii="楷体" w:hAnsi="楷体" w:eastAsia="楷体"/>
          <w:b/>
          <w:kern w:val="0"/>
          <w:sz w:val="36"/>
          <w:szCs w:val="36"/>
        </w:rPr>
        <w:t>培养方案</w:t>
      </w:r>
    </w:p>
    <w:p>
      <w:pPr>
        <w:widowControl/>
        <w:spacing w:line="430" w:lineRule="exact"/>
        <w:ind w:firstLine="482" w:firstLineChars="200"/>
        <w:jc w:val="center"/>
        <w:rPr>
          <w:rFonts w:ascii="楷体" w:hAnsi="楷体" w:eastAsia="楷体"/>
          <w:b/>
          <w:kern w:val="0"/>
          <w:sz w:val="24"/>
          <w:szCs w:val="24"/>
        </w:rPr>
      </w:pP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left="68" w:leftChars="0" w:firstLine="562" w:firstLineChars="0"/>
        <w:jc w:val="left"/>
        <w:textAlignment w:val="auto"/>
        <w:rPr>
          <w:rFonts w:ascii="仿宋" w:hAnsi="仿宋" w:eastAsia="仿宋"/>
          <w:b/>
          <w:sz w:val="28"/>
          <w:szCs w:val="24"/>
        </w:rPr>
      </w:pPr>
      <w:r>
        <w:rPr>
          <w:rFonts w:hint="eastAsia" w:ascii="仿宋" w:hAnsi="仿宋" w:eastAsia="仿宋"/>
          <w:b/>
          <w:sz w:val="28"/>
          <w:szCs w:val="24"/>
        </w:rPr>
        <w:t>专业</w:t>
      </w:r>
      <w:r>
        <w:rPr>
          <w:rFonts w:hint="eastAsia" w:ascii="仿宋" w:hAnsi="仿宋" w:eastAsia="仿宋"/>
          <w:b/>
          <w:sz w:val="28"/>
          <w:szCs w:val="24"/>
          <w:lang w:val="en-US" w:eastAsia="zh-CN"/>
        </w:rPr>
        <w:t>基本信息</w:t>
      </w:r>
    </w:p>
    <w:p>
      <w:pPr>
        <w:widowControl/>
        <w:spacing w:line="430" w:lineRule="exact"/>
        <w:ind w:firstLine="480"/>
        <w:jc w:val="left"/>
        <w:rPr>
          <w:rFonts w:hint="eastAsia" w:ascii="仿宋" w:hAnsi="仿宋" w:eastAsia="仿宋"/>
          <w:sz w:val="24"/>
          <w:szCs w:val="24"/>
          <w:lang w:val="en-US" w:eastAsia="zh-CN"/>
        </w:rPr>
      </w:pPr>
      <w:r>
        <w:rPr>
          <w:rFonts w:hint="eastAsia" w:ascii="仿宋" w:hAnsi="仿宋" w:eastAsia="仿宋"/>
          <w:sz w:val="24"/>
          <w:szCs w:val="24"/>
          <w:lang w:val="en-US" w:eastAsia="zh-CN"/>
        </w:rPr>
        <w:t>专业名称：会计学</w:t>
      </w:r>
    </w:p>
    <w:p>
      <w:pPr>
        <w:widowControl/>
        <w:spacing w:line="430" w:lineRule="exact"/>
        <w:ind w:firstLine="480"/>
        <w:jc w:val="left"/>
        <w:rPr>
          <w:rFonts w:hint="default" w:ascii="仿宋" w:hAnsi="仿宋" w:eastAsia="仿宋"/>
          <w:sz w:val="24"/>
          <w:szCs w:val="24"/>
          <w:lang w:val="en-US" w:eastAsia="zh-CN"/>
        </w:rPr>
      </w:pPr>
      <w:r>
        <w:rPr>
          <w:rFonts w:hint="eastAsia" w:ascii="仿宋" w:hAnsi="仿宋" w:eastAsia="仿宋"/>
          <w:sz w:val="24"/>
          <w:szCs w:val="24"/>
          <w:lang w:val="en-US" w:eastAsia="zh-CN"/>
        </w:rPr>
        <w:t>专业代码：120203K</w:t>
      </w:r>
    </w:p>
    <w:p>
      <w:pPr>
        <w:widowControl/>
        <w:spacing w:line="430" w:lineRule="exact"/>
        <w:ind w:firstLine="480"/>
        <w:jc w:val="left"/>
        <w:rPr>
          <w:rFonts w:hint="eastAsia" w:ascii="仿宋" w:hAnsi="仿宋" w:eastAsia="仿宋"/>
          <w:sz w:val="24"/>
          <w:szCs w:val="24"/>
          <w:lang w:val="en-US" w:eastAsia="zh-CN"/>
        </w:rPr>
      </w:pPr>
      <w:r>
        <w:rPr>
          <w:rFonts w:hint="eastAsia" w:ascii="仿宋" w:hAnsi="仿宋" w:eastAsia="仿宋"/>
          <w:sz w:val="24"/>
          <w:szCs w:val="24"/>
          <w:lang w:val="en-US" w:eastAsia="zh-CN"/>
        </w:rPr>
        <w:t>办学层次：</w:t>
      </w:r>
      <w:r>
        <w:rPr>
          <w:rFonts w:hint="eastAsia" w:ascii="仿宋" w:hAnsi="仿宋" w:eastAsia="仿宋"/>
          <w:sz w:val="24"/>
          <w:szCs w:val="24"/>
        </w:rPr>
        <w:t>专</w:t>
      </w:r>
      <w:r>
        <w:rPr>
          <w:rFonts w:hint="eastAsia" w:ascii="仿宋" w:hAnsi="仿宋" w:eastAsia="仿宋"/>
          <w:sz w:val="24"/>
          <w:szCs w:val="24"/>
          <w:lang w:val="en-US" w:eastAsia="zh-CN"/>
        </w:rPr>
        <w:t>升本</w:t>
      </w:r>
    </w:p>
    <w:p>
      <w:pPr>
        <w:widowControl/>
        <w:spacing w:line="430" w:lineRule="exact"/>
        <w:ind w:firstLine="480" w:firstLineChars="200"/>
        <w:jc w:val="left"/>
        <w:rPr>
          <w:rFonts w:ascii="仿宋" w:hAnsi="仿宋" w:eastAsia="仿宋"/>
          <w:sz w:val="24"/>
          <w:szCs w:val="24"/>
        </w:rPr>
      </w:pPr>
      <w:r>
        <w:rPr>
          <w:rFonts w:hint="eastAsia" w:ascii="仿宋" w:hAnsi="仿宋" w:eastAsia="仿宋"/>
          <w:sz w:val="24"/>
          <w:szCs w:val="24"/>
        </w:rPr>
        <w:t>学习形式</w:t>
      </w:r>
      <w:r>
        <w:rPr>
          <w:rFonts w:hint="eastAsia" w:ascii="仿宋" w:hAnsi="仿宋" w:eastAsia="仿宋"/>
          <w:sz w:val="24"/>
          <w:szCs w:val="24"/>
          <w:lang w:eastAsia="zh-CN"/>
        </w:rPr>
        <w:t>：</w:t>
      </w:r>
      <w:r>
        <w:rPr>
          <w:rFonts w:hint="eastAsia" w:ascii="仿宋" w:hAnsi="仿宋" w:eastAsia="仿宋"/>
          <w:sz w:val="24"/>
          <w:szCs w:val="24"/>
        </w:rPr>
        <w:t>业余/函授</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left="68" w:leftChars="0" w:firstLine="562" w:firstLineChars="0"/>
        <w:jc w:val="left"/>
        <w:textAlignment w:val="auto"/>
        <w:rPr>
          <w:rFonts w:hint="default" w:ascii="仿宋" w:hAnsi="仿宋" w:eastAsia="仿宋"/>
          <w:b/>
          <w:sz w:val="28"/>
          <w:szCs w:val="24"/>
          <w:lang w:val="en-US" w:eastAsia="zh-CN"/>
        </w:rPr>
      </w:pPr>
      <w:bookmarkStart w:id="1" w:name="_Toc28471_WPSOffice_Level3"/>
      <w:r>
        <w:rPr>
          <w:rFonts w:hint="eastAsia" w:ascii="仿宋" w:hAnsi="仿宋" w:eastAsia="仿宋"/>
          <w:b/>
          <w:sz w:val="28"/>
          <w:szCs w:val="24"/>
        </w:rPr>
        <w:t>培养目标</w:t>
      </w:r>
      <w:bookmarkEnd w:id="1"/>
      <w:r>
        <w:rPr>
          <w:rFonts w:hint="eastAsia" w:ascii="仿宋" w:hAnsi="仿宋" w:eastAsia="仿宋"/>
          <w:b/>
          <w:sz w:val="28"/>
          <w:szCs w:val="24"/>
          <w:lang w:val="en-US" w:eastAsia="zh-CN"/>
        </w:rPr>
        <w:t>与人才规格</w:t>
      </w:r>
    </w:p>
    <w:p>
      <w:pPr>
        <w:widowControl/>
        <w:spacing w:line="430" w:lineRule="exact"/>
        <w:ind w:firstLine="482" w:firstLineChars="200"/>
        <w:jc w:val="left"/>
        <w:rPr>
          <w:rFonts w:hint="eastAsia" w:ascii="仿宋" w:hAnsi="仿宋" w:eastAsia="仿宋"/>
          <w:b/>
          <w:bCs/>
          <w:sz w:val="24"/>
          <w:szCs w:val="24"/>
          <w:lang w:val="en-US" w:eastAsia="zh-CN"/>
        </w:rPr>
      </w:pPr>
      <w:r>
        <w:rPr>
          <w:rFonts w:hint="eastAsia" w:ascii="仿宋" w:hAnsi="仿宋" w:eastAsia="仿宋"/>
          <w:b/>
          <w:bCs/>
          <w:sz w:val="24"/>
          <w:szCs w:val="24"/>
          <w:lang w:eastAsia="zh-CN"/>
        </w:rPr>
        <w:t>（</w:t>
      </w:r>
      <w:r>
        <w:rPr>
          <w:rFonts w:hint="eastAsia" w:ascii="仿宋" w:hAnsi="仿宋" w:eastAsia="仿宋"/>
          <w:b/>
          <w:bCs/>
          <w:sz w:val="24"/>
          <w:szCs w:val="24"/>
          <w:lang w:val="en-US" w:eastAsia="zh-CN"/>
        </w:rPr>
        <w:t>一</w:t>
      </w:r>
      <w:r>
        <w:rPr>
          <w:rFonts w:hint="eastAsia" w:ascii="仿宋" w:hAnsi="仿宋" w:eastAsia="仿宋"/>
          <w:b/>
          <w:bCs/>
          <w:sz w:val="24"/>
          <w:szCs w:val="24"/>
          <w:lang w:eastAsia="zh-CN"/>
        </w:rPr>
        <w:t>）</w:t>
      </w:r>
      <w:r>
        <w:rPr>
          <w:rFonts w:hint="eastAsia" w:ascii="仿宋" w:hAnsi="仿宋" w:eastAsia="仿宋"/>
          <w:b/>
          <w:bCs/>
          <w:sz w:val="24"/>
          <w:szCs w:val="24"/>
          <w:lang w:val="en-US" w:eastAsia="zh-CN"/>
        </w:rPr>
        <w:t>培养目标</w:t>
      </w:r>
    </w:p>
    <w:p>
      <w:pPr>
        <w:autoSpaceDE w:val="0"/>
        <w:autoSpaceDN w:val="0"/>
        <w:adjustRightInd w:val="0"/>
        <w:spacing w:line="440" w:lineRule="exact"/>
        <w:ind w:firstLine="480" w:firstLineChars="200"/>
        <w:jc w:val="left"/>
        <w:rPr>
          <w:rFonts w:ascii="仿宋" w:hAnsi="仿宋" w:eastAsia="仿宋"/>
          <w:sz w:val="24"/>
          <w:szCs w:val="24"/>
        </w:rPr>
      </w:pPr>
      <w:r>
        <w:rPr>
          <w:rFonts w:hint="eastAsia" w:ascii="仿宋" w:hAnsi="仿宋" w:eastAsia="仿宋"/>
          <w:sz w:val="24"/>
          <w:szCs w:val="24"/>
        </w:rPr>
        <w:t>本专业培养</w:t>
      </w:r>
      <w:r>
        <w:rPr>
          <w:rFonts w:ascii="仿宋" w:hAnsi="仿宋" w:eastAsia="仿宋"/>
          <w:sz w:val="24"/>
          <w:szCs w:val="24"/>
        </w:rPr>
        <w:t>德、智、体、美、劳全面发展，</w:t>
      </w:r>
      <w:r>
        <w:rPr>
          <w:rFonts w:hint="eastAsia" w:ascii="仿宋" w:hAnsi="仿宋" w:eastAsia="仿宋"/>
          <w:sz w:val="24"/>
          <w:szCs w:val="24"/>
        </w:rPr>
        <w:t>服务经济社会发展和国家发展战略需求，努力培养品德优良，身心健康，具有</w:t>
      </w:r>
      <w:r>
        <w:rPr>
          <w:rFonts w:ascii="仿宋" w:hAnsi="仿宋" w:eastAsia="仿宋"/>
          <w:sz w:val="24"/>
          <w:szCs w:val="24"/>
        </w:rPr>
        <w:t>扎实经济管理和财务会计理论与实践</w:t>
      </w:r>
      <w:r>
        <w:rPr>
          <w:rFonts w:hint="eastAsia" w:ascii="仿宋" w:hAnsi="仿宋" w:eastAsia="仿宋"/>
          <w:sz w:val="24"/>
          <w:szCs w:val="24"/>
        </w:rPr>
        <w:t>知识</w:t>
      </w:r>
      <w:r>
        <w:rPr>
          <w:rFonts w:ascii="仿宋" w:hAnsi="仿宋" w:eastAsia="仿宋"/>
          <w:sz w:val="24"/>
          <w:szCs w:val="24"/>
        </w:rPr>
        <w:t>，具有较强分析和解决</w:t>
      </w:r>
      <w:r>
        <w:rPr>
          <w:rFonts w:hint="eastAsia" w:ascii="仿宋" w:hAnsi="仿宋" w:eastAsia="仿宋"/>
          <w:sz w:val="24"/>
          <w:szCs w:val="24"/>
        </w:rPr>
        <w:t>会计实务的</w:t>
      </w:r>
      <w:r>
        <w:rPr>
          <w:rFonts w:ascii="仿宋" w:hAnsi="仿宋" w:eastAsia="仿宋"/>
          <w:sz w:val="24"/>
          <w:szCs w:val="24"/>
        </w:rPr>
        <w:t>能力，能够从事会计核算</w:t>
      </w:r>
      <w:r>
        <w:rPr>
          <w:rFonts w:hint="eastAsia" w:ascii="仿宋" w:hAnsi="仿宋" w:eastAsia="仿宋"/>
          <w:sz w:val="24"/>
          <w:szCs w:val="24"/>
        </w:rPr>
        <w:t>与管理</w:t>
      </w:r>
      <w:r>
        <w:rPr>
          <w:rFonts w:ascii="仿宋" w:hAnsi="仿宋" w:eastAsia="仿宋"/>
          <w:sz w:val="24"/>
          <w:szCs w:val="24"/>
        </w:rPr>
        <w:t>等工作的</w:t>
      </w:r>
      <w:r>
        <w:rPr>
          <w:rFonts w:hint="eastAsia" w:ascii="仿宋" w:hAnsi="仿宋" w:eastAsia="仿宋"/>
          <w:sz w:val="24"/>
          <w:szCs w:val="24"/>
        </w:rPr>
        <w:t>应用型人才。</w:t>
      </w:r>
    </w:p>
    <w:p>
      <w:pPr>
        <w:widowControl/>
        <w:spacing w:line="360" w:lineRule="auto"/>
        <w:ind w:firstLine="482" w:firstLineChars="200"/>
        <w:jc w:val="left"/>
        <w:rPr>
          <w:rFonts w:hint="eastAsia" w:ascii="仿宋" w:hAnsi="仿宋" w:eastAsia="仿宋"/>
          <w:b/>
          <w:bCs/>
          <w:sz w:val="24"/>
          <w:szCs w:val="24"/>
          <w:lang w:eastAsia="zh-CN"/>
        </w:rPr>
      </w:pPr>
      <w:r>
        <w:rPr>
          <w:rFonts w:hint="eastAsia" w:ascii="仿宋" w:hAnsi="仿宋" w:eastAsia="仿宋"/>
          <w:b/>
          <w:bCs/>
          <w:sz w:val="24"/>
          <w:szCs w:val="24"/>
          <w:lang w:eastAsia="zh-CN"/>
        </w:rPr>
        <w:t>（</w:t>
      </w:r>
      <w:r>
        <w:rPr>
          <w:rFonts w:hint="eastAsia" w:ascii="仿宋" w:hAnsi="仿宋" w:eastAsia="仿宋"/>
          <w:b/>
          <w:bCs/>
          <w:sz w:val="24"/>
          <w:szCs w:val="24"/>
          <w:lang w:val="en-US" w:eastAsia="zh-CN"/>
        </w:rPr>
        <w:t>二</w:t>
      </w:r>
      <w:r>
        <w:rPr>
          <w:rFonts w:hint="eastAsia" w:ascii="仿宋" w:hAnsi="仿宋" w:eastAsia="仿宋"/>
          <w:b/>
          <w:bCs/>
          <w:sz w:val="24"/>
          <w:szCs w:val="24"/>
          <w:lang w:eastAsia="zh-CN"/>
        </w:rPr>
        <w:t>）</w:t>
      </w:r>
      <w:r>
        <w:rPr>
          <w:rFonts w:hint="eastAsia" w:ascii="仿宋" w:hAnsi="仿宋" w:eastAsia="仿宋"/>
          <w:b/>
          <w:bCs/>
          <w:sz w:val="24"/>
          <w:szCs w:val="24"/>
        </w:rPr>
        <w:t>知识、能力和素质要求</w:t>
      </w:r>
    </w:p>
    <w:p>
      <w:pPr>
        <w:autoSpaceDE w:val="0"/>
        <w:autoSpaceDN w:val="0"/>
        <w:adjustRightInd w:val="0"/>
        <w:spacing w:line="440" w:lineRule="exact"/>
        <w:ind w:firstLine="480" w:firstLineChars="200"/>
        <w:jc w:val="left"/>
        <w:rPr>
          <w:rFonts w:hint="eastAsia" w:ascii="仿宋" w:hAnsi="仿宋" w:eastAsia="仿宋"/>
          <w:sz w:val="24"/>
          <w:szCs w:val="24"/>
        </w:rPr>
      </w:pPr>
      <w:r>
        <w:rPr>
          <w:rFonts w:hint="eastAsia" w:ascii="仿宋" w:hAnsi="仿宋" w:eastAsia="仿宋"/>
          <w:sz w:val="24"/>
          <w:szCs w:val="24"/>
        </w:rPr>
        <w:t>知识要求：熟悉我国相关财经法律法规、方针政策及基本制度，接受较扎实专业理论和专业技能训练，具有较强分析问题和解决问题的能力。</w:t>
      </w:r>
    </w:p>
    <w:p>
      <w:pPr>
        <w:autoSpaceDE w:val="0"/>
        <w:autoSpaceDN w:val="0"/>
        <w:adjustRightInd w:val="0"/>
        <w:spacing w:line="440" w:lineRule="exact"/>
        <w:ind w:firstLine="480" w:firstLineChars="200"/>
        <w:jc w:val="left"/>
        <w:rPr>
          <w:rFonts w:hint="eastAsia" w:ascii="仿宋" w:hAnsi="仿宋" w:eastAsia="仿宋"/>
          <w:sz w:val="24"/>
          <w:szCs w:val="24"/>
        </w:rPr>
      </w:pPr>
      <w:r>
        <w:rPr>
          <w:rFonts w:hint="eastAsia" w:ascii="仿宋" w:hAnsi="仿宋" w:eastAsia="仿宋"/>
          <w:sz w:val="24"/>
          <w:szCs w:val="24"/>
        </w:rPr>
        <w:t>能力要求：具有良好的自学习惯和能力、有较好表达交流能力和一定计算机信息技术应用能力；具有灵活运用所掌握的相关会计理论知识和技能从事会计核算等相关工作的能力。</w:t>
      </w:r>
    </w:p>
    <w:p>
      <w:pPr>
        <w:autoSpaceDE w:val="0"/>
        <w:autoSpaceDN w:val="0"/>
        <w:adjustRightInd w:val="0"/>
        <w:spacing w:line="440" w:lineRule="exact"/>
        <w:ind w:firstLine="480" w:firstLineChars="200"/>
        <w:jc w:val="left"/>
        <w:rPr>
          <w:rFonts w:hint="eastAsia" w:ascii="仿宋" w:hAnsi="仿宋" w:eastAsia="仿宋"/>
          <w:sz w:val="24"/>
          <w:szCs w:val="24"/>
        </w:rPr>
      </w:pPr>
      <w:r>
        <w:rPr>
          <w:rFonts w:hint="eastAsia" w:ascii="仿宋" w:hAnsi="仿宋" w:eastAsia="仿宋"/>
          <w:sz w:val="24"/>
          <w:szCs w:val="24"/>
        </w:rPr>
        <w:t>素质要求：具备较高思想道德素质、较强团队意识和健全人格；掌握人文社会科学和自然科学基本知识，具有较好人文修养和良好专业素养；具备良好的身心素质：包括健康体魄、良好心理素质和生活习惯。</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left="68" w:leftChars="0" w:firstLine="562" w:firstLineChars="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修业年限</w:t>
      </w:r>
    </w:p>
    <w:p>
      <w:pPr>
        <w:autoSpaceDE w:val="0"/>
        <w:autoSpaceDN w:val="0"/>
        <w:adjustRightInd w:val="0"/>
        <w:spacing w:line="440" w:lineRule="exact"/>
        <w:ind w:firstLine="480" w:firstLineChars="200"/>
        <w:jc w:val="left"/>
        <w:rPr>
          <w:rFonts w:hint="eastAsia" w:ascii="仿宋" w:hAnsi="仿宋" w:eastAsia="仿宋"/>
          <w:sz w:val="24"/>
          <w:szCs w:val="24"/>
          <w:lang w:val="en-US" w:eastAsia="zh-CN"/>
        </w:rPr>
      </w:pPr>
      <w:r>
        <w:rPr>
          <w:rFonts w:hint="eastAsia" w:ascii="仿宋" w:hAnsi="仿宋" w:eastAsia="仿宋"/>
          <w:sz w:val="24"/>
          <w:szCs w:val="24"/>
          <w:lang w:val="en-US" w:eastAsia="zh-CN"/>
        </w:rPr>
        <w:t>修业年限2.5-5年</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left="68" w:leftChars="0" w:firstLine="562" w:firstLineChars="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教学形式</w:t>
      </w:r>
    </w:p>
    <w:p>
      <w:pPr>
        <w:autoSpaceDE w:val="0"/>
        <w:autoSpaceDN w:val="0"/>
        <w:adjustRightInd w:val="0"/>
        <w:spacing w:line="440" w:lineRule="exact"/>
        <w:ind w:firstLine="480" w:firstLineChars="200"/>
        <w:jc w:val="left"/>
        <w:rPr>
          <w:rFonts w:hint="default" w:ascii="仿宋" w:hAnsi="仿宋" w:eastAsia="仿宋"/>
          <w:sz w:val="24"/>
          <w:szCs w:val="24"/>
          <w:lang w:val="en-US" w:eastAsia="zh-CN"/>
        </w:rPr>
      </w:pPr>
      <w:r>
        <w:rPr>
          <w:rFonts w:hint="eastAsia" w:ascii="仿宋" w:hAnsi="仿宋" w:eastAsia="仿宋"/>
          <w:sz w:val="24"/>
          <w:szCs w:val="24"/>
          <w:lang w:val="en-US" w:eastAsia="zh-CN"/>
        </w:rPr>
        <w:t>“线上+线下”</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left="68" w:leftChars="0" w:firstLine="562" w:firstLineChars="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课程设置与</w:t>
      </w:r>
      <w:r>
        <w:rPr>
          <w:rFonts w:hint="eastAsia" w:ascii="仿宋" w:hAnsi="仿宋" w:eastAsia="仿宋"/>
          <w:b/>
          <w:sz w:val="28"/>
          <w:szCs w:val="24"/>
        </w:rPr>
        <w:t>学时</w:t>
      </w:r>
      <w:r>
        <w:rPr>
          <w:rFonts w:hint="eastAsia" w:ascii="仿宋" w:hAnsi="仿宋" w:eastAsia="仿宋"/>
          <w:b/>
          <w:sz w:val="28"/>
          <w:szCs w:val="24"/>
          <w:lang w:val="en-US" w:eastAsia="zh-CN"/>
        </w:rPr>
        <w:t>分配</w:t>
      </w:r>
    </w:p>
    <w:p>
      <w:pPr>
        <w:widowControl/>
        <w:spacing w:line="360" w:lineRule="auto"/>
        <w:ind w:firstLine="480" w:firstLineChars="200"/>
        <w:jc w:val="left"/>
        <w:rPr>
          <w:rFonts w:hint="eastAsia" w:ascii="仿宋" w:hAnsi="仿宋" w:eastAsia="仿宋"/>
          <w:sz w:val="24"/>
          <w:szCs w:val="24"/>
        </w:rPr>
      </w:pPr>
      <w:r>
        <w:rPr>
          <w:rFonts w:hint="eastAsia" w:ascii="仿宋" w:hAnsi="仿宋" w:eastAsia="仿宋" w:cs="Times New Roman"/>
          <w:sz w:val="24"/>
          <w:szCs w:val="24"/>
          <w:lang w:val="en-US" w:eastAsia="zh-CN"/>
        </w:rPr>
        <w:t>本专业课程共1600学时，100学分。其中公共基础课496学时，计31学分；专业课688学时，计43学分；职业能力拓展课64学时，计4学分；实践课352学时，计22学分。</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left="68" w:leftChars="0" w:firstLine="562" w:firstLineChars="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学位课程</w:t>
      </w:r>
    </w:p>
    <w:p>
      <w:pPr>
        <w:widowControl/>
        <w:spacing w:line="360" w:lineRule="auto"/>
        <w:ind w:firstLine="480" w:firstLineChars="200"/>
        <w:jc w:val="left"/>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中级财务会计、财务管理、管理会计</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left="68" w:leftChars="0" w:firstLine="562" w:firstLineChars="0"/>
        <w:jc w:val="left"/>
        <w:textAlignment w:val="auto"/>
        <w:rPr>
          <w:rFonts w:hint="eastAsia" w:ascii="仿宋" w:hAnsi="仿宋" w:eastAsia="仿宋"/>
          <w:b/>
          <w:sz w:val="28"/>
          <w:szCs w:val="24"/>
          <w:lang w:val="en-US" w:eastAsia="zh-CN"/>
        </w:rPr>
      </w:pPr>
      <w:r>
        <w:rPr>
          <w:rFonts w:hint="eastAsia" w:ascii="仿宋" w:hAnsi="仿宋" w:eastAsia="仿宋"/>
          <w:b/>
          <w:sz w:val="28"/>
          <w:szCs w:val="24"/>
          <w:lang w:val="en-US" w:eastAsia="zh-CN"/>
        </w:rPr>
        <w:t>考核、毕业要求及学位授予</w:t>
      </w:r>
    </w:p>
    <w:bookmarkEnd w:id="0"/>
    <w:p>
      <w:pPr>
        <w:keepNext w:val="0"/>
        <w:keepLines w:val="0"/>
        <w:pageBreakBefore w:val="0"/>
        <w:widowControl/>
        <w:kinsoku/>
        <w:wordWrap/>
        <w:overflowPunct/>
        <w:topLinePunct w:val="0"/>
        <w:autoSpaceDE/>
        <w:autoSpaceDN/>
        <w:bidi w:val="0"/>
        <w:adjustRightInd/>
        <w:snapToGrid/>
        <w:spacing w:line="430" w:lineRule="exact"/>
        <w:ind w:firstLine="480" w:firstLineChars="200"/>
        <w:jc w:val="left"/>
        <w:textAlignment w:val="auto"/>
        <w:rPr>
          <w:rFonts w:hint="eastAsia" w:ascii="仿宋" w:hAnsi="仿宋" w:eastAsia="仿宋"/>
          <w:sz w:val="24"/>
          <w:szCs w:val="24"/>
          <w:lang w:val="en-US" w:eastAsia="zh-CN"/>
        </w:rPr>
      </w:pPr>
      <w:bookmarkStart w:id="2" w:name="_Toc8000_WPSOffice_Level3"/>
      <w:r>
        <w:rPr>
          <w:rFonts w:hint="eastAsia" w:ascii="仿宋" w:hAnsi="仿宋" w:eastAsia="仿宋"/>
          <w:sz w:val="24"/>
          <w:szCs w:val="24"/>
          <w:lang w:val="en-US" w:eastAsia="zh-CN"/>
        </w:rPr>
        <w:t>本专业理论课程考核全部采用“过程性考核+终结性考核”的方式。</w:t>
      </w:r>
    </w:p>
    <w:p>
      <w:pPr>
        <w:widowControl/>
        <w:spacing w:line="430" w:lineRule="exact"/>
        <w:ind w:firstLine="480" w:firstLineChars="200"/>
        <w:jc w:val="left"/>
        <w:rPr>
          <w:rFonts w:ascii="仿宋" w:hAnsi="仿宋" w:eastAsia="仿宋"/>
          <w:sz w:val="24"/>
          <w:szCs w:val="24"/>
        </w:rPr>
      </w:pPr>
      <w:r>
        <w:rPr>
          <w:rFonts w:hint="eastAsia" w:ascii="仿宋" w:hAnsi="仿宋" w:eastAsia="仿宋"/>
          <w:sz w:val="24"/>
          <w:szCs w:val="24"/>
        </w:rPr>
        <w:t>本专业学生系统学习会计理论和方法，接受会计学思维和会计实务训练，具有较好运用会计学理论和会计方法分析解决企事业单位实际会计业务的能力</w:t>
      </w:r>
      <w:r>
        <w:rPr>
          <w:rFonts w:hint="eastAsia" w:ascii="仿宋" w:hAnsi="仿宋" w:eastAsia="仿宋"/>
          <w:sz w:val="24"/>
          <w:szCs w:val="24"/>
          <w:lang w:eastAsia="zh-CN"/>
        </w:rPr>
        <w:t>：</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1.</w:t>
      </w:r>
      <w:r>
        <w:rPr>
          <w:rFonts w:hint="eastAsia" w:ascii="仿宋" w:hAnsi="仿宋" w:eastAsia="仿宋"/>
          <w:sz w:val="24"/>
          <w:szCs w:val="24"/>
        </w:rPr>
        <w:t>思想素质：具备较高的思想道德素质，有较强的团队意识和健全的人格。</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2.</w:t>
      </w:r>
      <w:r>
        <w:rPr>
          <w:rFonts w:hint="eastAsia" w:ascii="仿宋" w:hAnsi="仿宋" w:eastAsia="仿宋"/>
          <w:sz w:val="24"/>
          <w:szCs w:val="24"/>
        </w:rPr>
        <w:t>通识素养：具有数学、英语、人文社会科学和自然科学的基本知识。</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3.</w:t>
      </w:r>
      <w:r>
        <w:rPr>
          <w:rFonts w:hint="eastAsia" w:ascii="仿宋" w:hAnsi="仿宋" w:eastAsia="仿宋"/>
          <w:sz w:val="24"/>
          <w:szCs w:val="24"/>
        </w:rPr>
        <w:t>问题分析：能够应用数学、信息技术、社会科学的基本原理，认识社会生活中的经济管理问题，通过运用分析和解决问题的能力，培养良好的专业素质。</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会计学专业知识：掌握会计学专业的基本知识，在会计领域具有较好的综合能力和分析解决问题的素养。</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5.</w:t>
      </w:r>
      <w:r>
        <w:rPr>
          <w:rFonts w:hint="eastAsia" w:ascii="仿宋" w:hAnsi="仿宋" w:eastAsia="仿宋"/>
          <w:sz w:val="24"/>
          <w:szCs w:val="24"/>
        </w:rPr>
        <w:t>财务决策能力：能够基于本专业知识，进行会计学专业实践实务工作，具有对经济活动的合理性进行分析、评价和审计的能力。</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6.</w:t>
      </w:r>
      <w:r>
        <w:rPr>
          <w:rFonts w:hint="eastAsia" w:ascii="仿宋" w:hAnsi="仿宋" w:eastAsia="仿宋"/>
          <w:sz w:val="24"/>
          <w:szCs w:val="24"/>
        </w:rPr>
        <w:t>职业规范：具有人文社会科学素养、社会责任感，能够在实践工作中理解并遵守会计职业道德和规范，履行责任。</w:t>
      </w:r>
    </w:p>
    <w:p>
      <w:pPr>
        <w:spacing w:line="440" w:lineRule="exact"/>
        <w:ind w:firstLine="480" w:firstLineChars="200"/>
        <w:rPr>
          <w:rFonts w:ascii="仿宋" w:hAnsi="仿宋" w:eastAsia="仿宋"/>
          <w:sz w:val="24"/>
          <w:szCs w:val="24"/>
        </w:rPr>
      </w:pPr>
      <w:r>
        <w:rPr>
          <w:rFonts w:hint="eastAsia" w:ascii="仿宋" w:hAnsi="仿宋" w:eastAsia="仿宋"/>
          <w:sz w:val="24"/>
          <w:szCs w:val="24"/>
          <w:lang w:val="en-US" w:eastAsia="zh-CN"/>
        </w:rPr>
        <w:t>7.</w:t>
      </w:r>
      <w:r>
        <w:rPr>
          <w:rFonts w:hint="eastAsia" w:ascii="仿宋" w:hAnsi="仿宋" w:eastAsia="仿宋"/>
          <w:sz w:val="24"/>
          <w:szCs w:val="24"/>
        </w:rPr>
        <w:t>实践能力：具有系统的财务会计实践学习经历，能正确理解企业活动中涉及的会计、财务管理、审计等问题，并作出决策。</w:t>
      </w:r>
    </w:p>
    <w:p>
      <w:pPr>
        <w:spacing w:line="440" w:lineRule="exact"/>
        <w:ind w:firstLine="480" w:firstLineChars="200"/>
        <w:rPr>
          <w:rFonts w:hint="eastAsia"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终身学习：具有自主学习和终身学习的意识，有不断学习和适应社会发展的能力。</w:t>
      </w:r>
    </w:p>
    <w:p>
      <w:pPr>
        <w:widowControl/>
        <w:spacing w:line="430" w:lineRule="exact"/>
        <w:ind w:firstLine="480" w:firstLineChars="200"/>
        <w:jc w:val="left"/>
        <w:rPr>
          <w:rFonts w:hint="eastAsia" w:ascii="仿宋" w:hAnsi="仿宋" w:eastAsia="仿宋"/>
          <w:sz w:val="24"/>
          <w:szCs w:val="24"/>
        </w:rPr>
      </w:pPr>
      <w:r>
        <w:rPr>
          <w:rFonts w:hint="eastAsia" w:ascii="仿宋" w:hAnsi="仿宋" w:eastAsia="仿宋"/>
          <w:sz w:val="24"/>
          <w:szCs w:val="24"/>
        </w:rPr>
        <w:t>学生完成培养方案规定的课程和学分要求，考核合格，符合学位授予条件的，经申请授予管理学学士学位。</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left="68" w:leftChars="0" w:firstLine="562" w:firstLineChars="0"/>
        <w:jc w:val="left"/>
        <w:textAlignment w:val="auto"/>
        <w:rPr>
          <w:rFonts w:hint="eastAsia" w:ascii="仿宋" w:hAnsi="仿宋" w:eastAsia="仿宋"/>
          <w:b/>
          <w:sz w:val="28"/>
          <w:szCs w:val="24"/>
        </w:rPr>
      </w:pPr>
      <w:r>
        <w:rPr>
          <w:rFonts w:hint="eastAsia" w:ascii="仿宋" w:hAnsi="仿宋" w:eastAsia="仿宋"/>
          <w:b/>
          <w:sz w:val="28"/>
          <w:szCs w:val="24"/>
          <w:lang w:val="en-US" w:eastAsia="zh-CN"/>
        </w:rPr>
        <w:t>教学实施保障</w:t>
      </w:r>
    </w:p>
    <w:bookmarkEnd w:id="2"/>
    <w:p>
      <w:pPr>
        <w:widowControl/>
        <w:spacing w:line="430" w:lineRule="exact"/>
        <w:ind w:firstLine="480" w:firstLineChars="200"/>
        <w:jc w:val="left"/>
        <w:rPr>
          <w:rFonts w:hint="eastAsia" w:ascii="仿宋" w:hAnsi="仿宋" w:eastAsia="仿宋"/>
          <w:b/>
          <w:sz w:val="28"/>
          <w:szCs w:val="24"/>
        </w:rPr>
      </w:pPr>
      <w:r>
        <w:rPr>
          <w:rFonts w:hint="eastAsia" w:ascii="仿宋" w:hAnsi="仿宋" w:eastAsia="仿宋"/>
          <w:sz w:val="24"/>
          <w:szCs w:val="24"/>
        </w:rPr>
        <w:t>学校</w:t>
      </w:r>
      <w:r>
        <w:rPr>
          <w:rFonts w:hint="eastAsia" w:ascii="仿宋" w:hAnsi="仿宋" w:eastAsia="仿宋"/>
          <w:sz w:val="24"/>
          <w:szCs w:val="24"/>
          <w:lang w:val="en-US" w:eastAsia="zh-CN"/>
        </w:rPr>
        <w:t>建设了一支</w:t>
      </w:r>
      <w:r>
        <w:rPr>
          <w:rFonts w:hint="eastAsia" w:ascii="仿宋" w:hAnsi="仿宋" w:eastAsia="仿宋"/>
          <w:sz w:val="24"/>
          <w:szCs w:val="24"/>
        </w:rPr>
        <w:t>专兼职结合的学历继续教育教师队伍，校本部和各校外教学点按照要求配足配好主讲教师、辅导教师和管理人员，将聘任的兼职教师、辅导教师统一纳入学校师资队伍发展规划和管理，加强师德师风建设。学校按照高等学历继续教育教材建设与管理的有关要求，完善高等学历继续教育教材管理体制，加强教材规划，规范教材选用，增强教材育人功能。校本部和每个校外教学点都具有满足面授教学需要的教学用房、实验实训设备等。学校购买有教学管理平台，所有课程均有数字</w:t>
      </w:r>
      <w:r>
        <w:rPr>
          <w:rFonts w:hint="eastAsia" w:ascii="仿宋" w:hAnsi="仿宋" w:eastAsia="仿宋"/>
          <w:sz w:val="24"/>
          <w:szCs w:val="24"/>
          <w:lang w:val="en-US" w:eastAsia="zh-CN"/>
        </w:rPr>
        <w:t>教学</w:t>
      </w:r>
      <w:r>
        <w:rPr>
          <w:rFonts w:hint="eastAsia" w:ascii="仿宋" w:hAnsi="仿宋" w:eastAsia="仿宋"/>
          <w:sz w:val="24"/>
          <w:szCs w:val="24"/>
        </w:rPr>
        <w:t>资源，能够满足在籍生在线学习需要，并实现招生、教学、考试、学籍、证书、收费等各环节的全流程</w:t>
      </w:r>
      <w:r>
        <w:rPr>
          <w:rFonts w:hint="eastAsia" w:ascii="仿宋" w:hAnsi="仿宋" w:eastAsia="仿宋"/>
          <w:sz w:val="24"/>
          <w:szCs w:val="24"/>
          <w:lang w:val="en-US" w:eastAsia="zh-CN"/>
        </w:rPr>
        <w:t>信息化</w:t>
      </w:r>
      <w:r>
        <w:rPr>
          <w:rFonts w:hint="eastAsia" w:ascii="仿宋" w:hAnsi="仿宋" w:eastAsia="仿宋"/>
          <w:sz w:val="24"/>
          <w:szCs w:val="24"/>
        </w:rPr>
        <w:t>管理。学校构建了学历继续教育内部质量保证体系，不断加强制度建设，保证流程规范、监管有效。学校保证正常教育教学的稳定经费投入，用于学历继续教育办学经费的比例</w:t>
      </w:r>
      <w:r>
        <w:rPr>
          <w:rFonts w:hint="eastAsia" w:ascii="仿宋" w:hAnsi="仿宋" w:eastAsia="仿宋"/>
          <w:sz w:val="24"/>
          <w:szCs w:val="24"/>
          <w:lang w:val="en-US" w:eastAsia="zh-CN"/>
        </w:rPr>
        <w:t>不低于</w:t>
      </w:r>
      <w:r>
        <w:rPr>
          <w:rFonts w:hint="eastAsia" w:ascii="仿宋" w:hAnsi="仿宋" w:eastAsia="仿宋"/>
          <w:sz w:val="24"/>
          <w:szCs w:val="24"/>
        </w:rPr>
        <w:t>学历继续教育学费总额的70%。</w:t>
      </w:r>
    </w:p>
    <w:p>
      <w:pPr>
        <w:keepNext w:val="0"/>
        <w:keepLines w:val="0"/>
        <w:pageBreakBefore w:val="0"/>
        <w:widowControl/>
        <w:numPr>
          <w:ilvl w:val="0"/>
          <w:numId w:val="1"/>
        </w:numPr>
        <w:kinsoku/>
        <w:wordWrap/>
        <w:overflowPunct/>
        <w:topLinePunct w:val="0"/>
        <w:autoSpaceDE/>
        <w:autoSpaceDN/>
        <w:bidi w:val="0"/>
        <w:adjustRightInd/>
        <w:snapToGrid/>
        <w:spacing w:before="157" w:beforeLines="50" w:after="157" w:afterLines="50" w:line="430" w:lineRule="exact"/>
        <w:ind w:left="68" w:leftChars="0" w:firstLine="562" w:firstLineChars="0"/>
        <w:jc w:val="left"/>
        <w:textAlignment w:val="auto"/>
        <w:rPr>
          <w:rFonts w:hint="eastAsia" w:ascii="仿宋" w:hAnsi="仿宋" w:eastAsia="仿宋"/>
          <w:b/>
          <w:sz w:val="28"/>
          <w:szCs w:val="24"/>
        </w:rPr>
      </w:pPr>
      <w:r>
        <w:rPr>
          <w:rFonts w:hint="eastAsia" w:ascii="仿宋" w:hAnsi="仿宋" w:eastAsia="仿宋"/>
          <w:b/>
          <w:sz w:val="28"/>
          <w:szCs w:val="24"/>
        </w:rPr>
        <w:t>教学计划进程表</w:t>
      </w:r>
    </w:p>
    <w:p>
      <w:pPr>
        <w:widowControl/>
        <w:spacing w:line="430" w:lineRule="exact"/>
        <w:ind w:firstLine="480"/>
        <w:jc w:val="left"/>
        <w:rPr>
          <w:rFonts w:ascii="仿宋" w:hAnsi="仿宋" w:eastAsia="仿宋"/>
          <w:sz w:val="24"/>
          <w:szCs w:val="24"/>
        </w:rPr>
        <w:sectPr>
          <w:pgSz w:w="11906" w:h="16838"/>
          <w:pgMar w:top="1440" w:right="1474" w:bottom="1440" w:left="1474" w:header="851" w:footer="992" w:gutter="0"/>
          <w:cols w:space="425" w:num="1"/>
          <w:docGrid w:type="lines" w:linePitch="312" w:charSpace="0"/>
        </w:sectPr>
      </w:pPr>
    </w:p>
    <w:tbl>
      <w:tblPr>
        <w:tblStyle w:val="5"/>
        <w:tblW w:w="145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1"/>
        <w:gridCol w:w="454"/>
        <w:gridCol w:w="1096"/>
        <w:gridCol w:w="2481"/>
        <w:gridCol w:w="690"/>
        <w:gridCol w:w="669"/>
        <w:gridCol w:w="791"/>
        <w:gridCol w:w="802"/>
        <w:gridCol w:w="791"/>
        <w:gridCol w:w="766"/>
        <w:gridCol w:w="766"/>
        <w:gridCol w:w="791"/>
        <w:gridCol w:w="768"/>
        <w:gridCol w:w="773"/>
        <w:gridCol w:w="602"/>
        <w:gridCol w:w="480"/>
        <w:gridCol w:w="540"/>
        <w:gridCol w:w="5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4596" w:type="dxa"/>
            <w:gridSpan w:val="18"/>
            <w:tcBorders>
              <w:top w:val="nil"/>
              <w:left w:val="nil"/>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cs="宋体"/>
                <w:b/>
                <w:bCs/>
                <w:i w:val="0"/>
                <w:iCs w:val="0"/>
                <w:color w:val="000000"/>
                <w:kern w:val="0"/>
                <w:sz w:val="28"/>
                <w:szCs w:val="28"/>
                <w:u w:val="none"/>
                <w:lang w:val="en-US" w:eastAsia="zh-CN" w:bidi="ar"/>
              </w:rPr>
              <w:t>会计学</w:t>
            </w:r>
            <w:bookmarkStart w:id="3" w:name="_GoBack"/>
            <w:bookmarkEnd w:id="3"/>
            <w:r>
              <w:rPr>
                <w:rFonts w:hint="eastAsia" w:ascii="宋体" w:hAnsi="宋体" w:eastAsia="宋体" w:cs="宋体"/>
                <w:b/>
                <w:bCs/>
                <w:i w:val="0"/>
                <w:iCs w:val="0"/>
                <w:color w:val="000000"/>
                <w:kern w:val="0"/>
                <w:sz w:val="28"/>
                <w:szCs w:val="28"/>
                <w:u w:val="none"/>
                <w:lang w:val="en-US" w:eastAsia="zh-CN" w:bidi="ar"/>
              </w:rPr>
              <w:t>专业教学进程表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11"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课程类别</w:t>
            </w:r>
          </w:p>
        </w:tc>
        <w:tc>
          <w:tcPr>
            <w:tcW w:w="454"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09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课程</w:t>
            </w:r>
          </w:p>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代码</w:t>
            </w:r>
          </w:p>
        </w:tc>
        <w:tc>
          <w:tcPr>
            <w:tcW w:w="2481"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课程名称</w:t>
            </w:r>
          </w:p>
        </w:tc>
        <w:tc>
          <w:tcPr>
            <w:tcW w:w="69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学分</w:t>
            </w:r>
          </w:p>
        </w:tc>
        <w:tc>
          <w:tcPr>
            <w:tcW w:w="66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总学时</w:t>
            </w:r>
          </w:p>
        </w:tc>
        <w:tc>
          <w:tcPr>
            <w:tcW w:w="6248" w:type="dxa"/>
            <w:gridSpan w:val="8"/>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各学期学时分配</w:t>
            </w:r>
          </w:p>
        </w:tc>
        <w:tc>
          <w:tcPr>
            <w:tcW w:w="2147" w:type="dxa"/>
            <w:gridSpan w:val="4"/>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考核方式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1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454"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96"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248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69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66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91"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线上</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教学</w:t>
            </w:r>
          </w:p>
        </w:tc>
        <w:tc>
          <w:tcPr>
            <w:tcW w:w="802"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线下</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教学</w:t>
            </w:r>
          </w:p>
        </w:tc>
        <w:tc>
          <w:tcPr>
            <w:tcW w:w="791"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实验</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实训</w:t>
            </w:r>
          </w:p>
        </w:tc>
        <w:tc>
          <w:tcPr>
            <w:tcW w:w="76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w:t>
            </w:r>
          </w:p>
        </w:tc>
        <w:tc>
          <w:tcPr>
            <w:tcW w:w="766"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w:t>
            </w:r>
          </w:p>
        </w:tc>
        <w:tc>
          <w:tcPr>
            <w:tcW w:w="791"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w:t>
            </w:r>
          </w:p>
        </w:tc>
        <w:tc>
          <w:tcPr>
            <w:tcW w:w="76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四</w:t>
            </w:r>
          </w:p>
        </w:tc>
        <w:tc>
          <w:tcPr>
            <w:tcW w:w="773"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五</w:t>
            </w:r>
          </w:p>
        </w:tc>
        <w:tc>
          <w:tcPr>
            <w:tcW w:w="602"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过程性考核</w:t>
            </w:r>
          </w:p>
        </w:tc>
        <w:tc>
          <w:tcPr>
            <w:tcW w:w="1545"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终结性考核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811"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454"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96"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2481"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690"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669"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91"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802"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91"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66"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66"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91"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68"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73"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602"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48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闭卷</w:t>
            </w:r>
          </w:p>
        </w:tc>
        <w:tc>
          <w:tcPr>
            <w:tcW w:w="5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开卷</w:t>
            </w:r>
          </w:p>
        </w:tc>
        <w:tc>
          <w:tcPr>
            <w:tcW w:w="52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考查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公共基础课</w:t>
            </w: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GG232001</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中国近现代史纲要</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GG232002</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马克思主义基本原理</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GG242015</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习近平新时代中国特色社会主义思想概论</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XS242001</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形势与政策1</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0.25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XS242002</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形势与政策2</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0.25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XS242003</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形势与政策3</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0.25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XS242004</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形势与政策4</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0.25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0"/>
                <w:sz w:val="22"/>
                <w:szCs w:val="22"/>
                <w:u w:val="none"/>
                <w:lang w:val="en-US" w:eastAsia="zh-CN" w:bidi="ar"/>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XS242005</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形势与政策5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16</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0"/>
                <w:sz w:val="22"/>
                <w:szCs w:val="22"/>
                <w:u w:val="none"/>
                <w:lang w:val="en-US" w:eastAsia="zh-CN" w:bidi="ar"/>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eastAsia="宋体" w:cs="Arial"/>
                <w:i w:val="0"/>
                <w:iCs w:val="0"/>
                <w:color w:val="000000"/>
                <w:kern w:val="0"/>
                <w:sz w:val="22"/>
                <w:szCs w:val="22"/>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GG242007</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英语B1</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48</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48</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GG232008</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英语B2</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GG232009</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计算机应用基础</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GG232010</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线性代数</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GG232011</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概率与数理统计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GG232012</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程序设计语言VB</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GG242016</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心理健康教育</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811"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专业课</w:t>
            </w: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JG232020</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会计学原理</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JG232043</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中级财务会计*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JG232003</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财务管理*</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JG232004</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成本会计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JG232016</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管理学原理</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JG232019</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会计信息化</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JG232031</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税法</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JG232044</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资产评估</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JG232040</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政府会计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JG232023</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内部控制</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JG232015</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管理会计*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JG232032</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税收筹划</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JG232007</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高级财务会计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29</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JG232002</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财务报告分析</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JG232029</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审计学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auto"/>
                <w:sz w:val="22"/>
                <w:szCs w:val="22"/>
                <w:u w:val="none"/>
              </w:rPr>
            </w:pPr>
            <w:r>
              <w:rPr>
                <w:rFonts w:hint="default" w:ascii="Arial" w:hAnsi="Arial" w:eastAsia="宋体" w:cs="Arial"/>
                <w:i w:val="0"/>
                <w:iCs w:val="0"/>
                <w:color w:val="auto"/>
                <w:kern w:val="0"/>
                <w:sz w:val="22"/>
                <w:szCs w:val="22"/>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8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122" w:leftChars="-58" w:right="-105" w:rightChars="-50" w:firstLine="22" w:firstLineChars="1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职业能力拓展课</w:t>
            </w: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GG242013</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职业素养课1</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GG242014</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职业素养课2</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GG242017</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职业生涯规划与管理</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实践教学</w:t>
            </w: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34</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JG242053</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会计学专业入学教育</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GG242018</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思想政治理论课实践教学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JG242054</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会计学专业毕业教育</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37</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JG242055</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会计学专业毕业实习</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JG242051</w:t>
            </w:r>
          </w:p>
        </w:tc>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会计学专业毕业设计（论文）</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256</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128</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128</w:t>
            </w: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default" w:ascii="Arial" w:hAnsi="Arial" w:eastAsia="宋体" w:cs="Arial"/>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8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1600</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1168</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352</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364</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364</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340</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388</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620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百分比%</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73.0%</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22.0%</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24.3%</w:t>
            </w:r>
          </w:p>
        </w:tc>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r>
    </w:tbl>
    <w:p>
      <w:pPr>
        <w:widowControl/>
        <w:spacing w:line="430" w:lineRule="exact"/>
        <w:ind w:firstLine="480"/>
        <w:jc w:val="left"/>
        <w:rPr>
          <w:rFonts w:ascii="仿宋" w:hAnsi="仿宋" w:eastAsia="仿宋"/>
          <w:sz w:val="24"/>
          <w:szCs w:val="24"/>
        </w:rPr>
      </w:pPr>
    </w:p>
    <w:p>
      <w:pPr>
        <w:keepNext w:val="0"/>
        <w:keepLines w:val="0"/>
        <w:pageBreakBefore w:val="0"/>
        <w:widowControl w:val="0"/>
        <w:kinsoku/>
        <w:wordWrap/>
        <w:overflowPunct/>
        <w:topLinePunct w:val="0"/>
        <w:autoSpaceDE/>
        <w:autoSpaceDN/>
        <w:bidi w:val="0"/>
        <w:adjustRightInd/>
        <w:snapToGrid/>
        <w:spacing w:line="14" w:lineRule="exact"/>
        <w:textAlignment w:val="auto"/>
        <w:rPr>
          <w:sz w:val="24"/>
          <w:szCs w:val="24"/>
        </w:rPr>
      </w:pPr>
    </w:p>
    <w:sectPr>
      <w:pgSz w:w="16838" w:h="11906" w:orient="landscape"/>
      <w:pgMar w:top="1474" w:right="1440" w:bottom="147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简体">
    <w:altName w:val="宋体"/>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8631C5"/>
    <w:multiLevelType w:val="singleLevel"/>
    <w:tmpl w:val="1E8631C5"/>
    <w:lvl w:ilvl="0" w:tentative="0">
      <w:start w:val="1"/>
      <w:numFmt w:val="chineseCounting"/>
      <w:suff w:val="space"/>
      <w:lvlText w:val="%1、"/>
      <w:lvlJc w:val="left"/>
      <w:pPr>
        <w:ind w:left="68"/>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2Y2NlZmFmNWIzNGI4NTNkNTZlODY3NGYyNjU5MDEifQ=="/>
    <w:docVar w:name="KSO_WPS_MARK_KEY" w:val="2b07470d-53da-413e-9fa6-a43107a9e27f"/>
  </w:docVars>
  <w:rsids>
    <w:rsidRoot w:val="001B4556"/>
    <w:rsid w:val="00071608"/>
    <w:rsid w:val="00121394"/>
    <w:rsid w:val="00163EC6"/>
    <w:rsid w:val="001A59DE"/>
    <w:rsid w:val="001B4556"/>
    <w:rsid w:val="002751CD"/>
    <w:rsid w:val="00377194"/>
    <w:rsid w:val="008B08CD"/>
    <w:rsid w:val="00965C81"/>
    <w:rsid w:val="00972A87"/>
    <w:rsid w:val="009F1481"/>
    <w:rsid w:val="00C94FC1"/>
    <w:rsid w:val="00EA7CE4"/>
    <w:rsid w:val="00F55218"/>
    <w:rsid w:val="011E1FE4"/>
    <w:rsid w:val="03C52F82"/>
    <w:rsid w:val="070A3323"/>
    <w:rsid w:val="07E17E0F"/>
    <w:rsid w:val="0BAA1044"/>
    <w:rsid w:val="10036F74"/>
    <w:rsid w:val="146A5814"/>
    <w:rsid w:val="17C101CD"/>
    <w:rsid w:val="1B6A752B"/>
    <w:rsid w:val="1C59706B"/>
    <w:rsid w:val="1D95022D"/>
    <w:rsid w:val="271E248E"/>
    <w:rsid w:val="2B2C517A"/>
    <w:rsid w:val="2BDA4CC1"/>
    <w:rsid w:val="2C491D5B"/>
    <w:rsid w:val="2C9034E6"/>
    <w:rsid w:val="2D12214D"/>
    <w:rsid w:val="32B4730F"/>
    <w:rsid w:val="37E84C0D"/>
    <w:rsid w:val="38B16CBE"/>
    <w:rsid w:val="38FF3672"/>
    <w:rsid w:val="40271F5C"/>
    <w:rsid w:val="41014108"/>
    <w:rsid w:val="413F4877"/>
    <w:rsid w:val="47170634"/>
    <w:rsid w:val="479A263B"/>
    <w:rsid w:val="49635DB3"/>
    <w:rsid w:val="4C474D17"/>
    <w:rsid w:val="4CCE0050"/>
    <w:rsid w:val="4D782049"/>
    <w:rsid w:val="5B8F47E5"/>
    <w:rsid w:val="60842E15"/>
    <w:rsid w:val="658C43D7"/>
    <w:rsid w:val="696D0F78"/>
    <w:rsid w:val="6DC83681"/>
    <w:rsid w:val="71554822"/>
    <w:rsid w:val="73CF2113"/>
    <w:rsid w:val="74DD23EE"/>
    <w:rsid w:val="77617526"/>
    <w:rsid w:val="781225CE"/>
    <w:rsid w:val="7B955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